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C04" w:rsidRPr="004C44FA" w:rsidRDefault="00CD6C04" w:rsidP="004C44FA">
      <w:pPr>
        <w:jc w:val="both"/>
        <w:rPr>
          <w:rFonts w:ascii="Arial" w:hAnsi="Arial" w:cs="Arial"/>
          <w:sz w:val="24"/>
          <w:szCs w:val="24"/>
        </w:rPr>
      </w:pPr>
    </w:p>
    <w:p w:rsidR="00FA0020" w:rsidRPr="004C44FA" w:rsidRDefault="00391FBC" w:rsidP="004C44FA">
      <w:pPr>
        <w:pStyle w:val="Default"/>
        <w:jc w:val="both"/>
        <w:rPr>
          <w:rFonts w:ascii="Arial" w:hAnsi="Arial" w:cs="Arial"/>
          <w:bCs/>
          <w:color w:val="auto"/>
        </w:rPr>
      </w:pPr>
      <w:r w:rsidRPr="004C44FA">
        <w:rPr>
          <w:rFonts w:ascii="Arial" w:hAnsi="Arial" w:cs="Arial"/>
          <w:color w:val="auto"/>
        </w:rPr>
        <w:t>La Comunicación</w:t>
      </w:r>
      <w:r w:rsidR="00CD6C04" w:rsidRPr="004C44FA">
        <w:rPr>
          <w:rFonts w:ascii="Arial" w:hAnsi="Arial" w:cs="Arial"/>
          <w:color w:val="auto"/>
        </w:rPr>
        <w:t xml:space="preserve"> póster</w:t>
      </w:r>
      <w:proofErr w:type="gramStart"/>
      <w:r w:rsidRPr="004C44FA">
        <w:rPr>
          <w:rFonts w:ascii="Arial" w:hAnsi="Arial" w:cs="Arial"/>
          <w:color w:val="auto"/>
        </w:rPr>
        <w:t>:</w:t>
      </w:r>
      <w:r w:rsidR="00024851" w:rsidRPr="004C44FA">
        <w:rPr>
          <w:rFonts w:ascii="Arial" w:hAnsi="Arial" w:cs="Arial"/>
          <w:color w:val="auto"/>
        </w:rPr>
        <w:t xml:space="preserve"> ”Análisis</w:t>
      </w:r>
      <w:proofErr w:type="gramEnd"/>
      <w:r w:rsidR="00024851" w:rsidRPr="004C44FA">
        <w:rPr>
          <w:rFonts w:ascii="Arial" w:hAnsi="Arial" w:cs="Arial"/>
          <w:color w:val="auto"/>
        </w:rPr>
        <w:t xml:space="preserve"> sobre la seguridad de la metformina en el embarazo</w:t>
      </w:r>
      <w:r w:rsidRPr="004C44FA">
        <w:rPr>
          <w:rFonts w:ascii="Arial" w:hAnsi="Arial" w:cs="Arial"/>
          <w:color w:val="auto"/>
        </w:rPr>
        <w:t>”</w:t>
      </w:r>
      <w:r w:rsidR="00FA0020" w:rsidRPr="004C44FA">
        <w:rPr>
          <w:rFonts w:ascii="Arial" w:hAnsi="Arial" w:cs="Arial"/>
          <w:color w:val="auto"/>
        </w:rPr>
        <w:t xml:space="preserve"> publicada en 2018  en el IV congreso internacional en contextos clínicos y de la salud  y se presentó con el siguiente formato:</w:t>
      </w:r>
      <w:bookmarkStart w:id="0" w:name="_GoBack"/>
      <w:bookmarkEnd w:id="0"/>
    </w:p>
    <w:p w:rsidR="005D5278" w:rsidRPr="004C44FA" w:rsidRDefault="005D5278" w:rsidP="004C44FA">
      <w:pPr>
        <w:jc w:val="both"/>
        <w:rPr>
          <w:rFonts w:ascii="Arial" w:hAnsi="Arial" w:cs="Arial"/>
          <w:sz w:val="24"/>
          <w:szCs w:val="24"/>
        </w:rPr>
      </w:pPr>
    </w:p>
    <w:p w:rsidR="009D7CED" w:rsidRPr="004C44FA" w:rsidRDefault="00FA0020" w:rsidP="004C44FA">
      <w:pPr>
        <w:jc w:val="both"/>
        <w:rPr>
          <w:rFonts w:ascii="Arial" w:hAnsi="Arial" w:cs="Arial"/>
          <w:sz w:val="24"/>
          <w:szCs w:val="24"/>
        </w:rPr>
      </w:pPr>
      <w:r w:rsidRPr="004C44F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0B79D752" wp14:editId="5C461EEF">
            <wp:extent cx="5400040" cy="7200053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ED" w:rsidRPr="004C44FA" w:rsidRDefault="009D7CED" w:rsidP="004C44FA">
      <w:pPr>
        <w:jc w:val="both"/>
        <w:rPr>
          <w:rFonts w:ascii="Arial" w:hAnsi="Arial" w:cs="Arial"/>
          <w:sz w:val="24"/>
          <w:szCs w:val="24"/>
        </w:rPr>
      </w:pPr>
    </w:p>
    <w:p w:rsidR="004C44FA" w:rsidRPr="004C44FA" w:rsidRDefault="005D5278" w:rsidP="004C44FA">
      <w:pPr>
        <w:jc w:val="both"/>
        <w:rPr>
          <w:rFonts w:ascii="Arial" w:hAnsi="Arial" w:cs="Arial"/>
          <w:sz w:val="24"/>
          <w:szCs w:val="24"/>
        </w:rPr>
      </w:pPr>
      <w:r w:rsidRPr="004C44FA">
        <w:rPr>
          <w:rFonts w:ascii="Arial" w:hAnsi="Arial" w:cs="Arial"/>
          <w:sz w:val="24"/>
          <w:szCs w:val="24"/>
        </w:rPr>
        <w:lastRenderedPageBreak/>
        <w:t>Como se puede observar en la comunicación poster se</w:t>
      </w:r>
      <w:r w:rsidR="00CD6C04" w:rsidRPr="004C44FA">
        <w:rPr>
          <w:rFonts w:ascii="Arial" w:hAnsi="Arial" w:cs="Arial"/>
          <w:sz w:val="24"/>
          <w:szCs w:val="24"/>
        </w:rPr>
        <w:t xml:space="preserve"> describe como se</w:t>
      </w:r>
      <w:r w:rsidRPr="004C44FA">
        <w:rPr>
          <w:rFonts w:ascii="Arial" w:hAnsi="Arial" w:cs="Arial"/>
          <w:sz w:val="24"/>
          <w:szCs w:val="24"/>
        </w:rPr>
        <w:t xml:space="preserve"> realizó</w:t>
      </w:r>
      <w:r w:rsidR="00CD6C04" w:rsidRPr="004C44FA">
        <w:rPr>
          <w:rFonts w:ascii="Arial" w:hAnsi="Arial" w:cs="Arial"/>
          <w:sz w:val="24"/>
          <w:szCs w:val="24"/>
        </w:rPr>
        <w:t xml:space="preserve"> la revisión sistemática que fue</w:t>
      </w:r>
      <w:r w:rsidRPr="004C44FA">
        <w:rPr>
          <w:rFonts w:ascii="Arial" w:hAnsi="Arial" w:cs="Arial"/>
          <w:sz w:val="24"/>
          <w:szCs w:val="24"/>
        </w:rPr>
        <w:t xml:space="preserve"> una búsqueda </w:t>
      </w:r>
      <w:r w:rsidR="00FA0020" w:rsidRPr="004C44FA">
        <w:rPr>
          <w:rFonts w:ascii="Arial" w:hAnsi="Arial" w:cs="Arial"/>
          <w:sz w:val="24"/>
          <w:szCs w:val="24"/>
        </w:rPr>
        <w:t xml:space="preserve">bibliográfica en inglés y castellano, en bases de datos de salud: Cuiden Plus, </w:t>
      </w:r>
      <w:proofErr w:type="spellStart"/>
      <w:r w:rsidR="00FA0020" w:rsidRPr="004C44FA">
        <w:rPr>
          <w:rFonts w:ascii="Arial" w:hAnsi="Arial" w:cs="Arial"/>
          <w:sz w:val="24"/>
          <w:szCs w:val="24"/>
        </w:rPr>
        <w:t>Tripdatabase</w:t>
      </w:r>
      <w:proofErr w:type="spellEnd"/>
      <w:r w:rsidR="00FA0020" w:rsidRPr="004C44FA">
        <w:rPr>
          <w:rFonts w:ascii="Arial" w:hAnsi="Arial" w:cs="Arial"/>
          <w:sz w:val="24"/>
          <w:szCs w:val="24"/>
        </w:rPr>
        <w:t xml:space="preserve">, Scielo, Biblioteca Cochrane Plus, </w:t>
      </w:r>
      <w:proofErr w:type="spellStart"/>
      <w:r w:rsidR="00FA0020" w:rsidRPr="004C44FA">
        <w:rPr>
          <w:rFonts w:ascii="Arial" w:hAnsi="Arial" w:cs="Arial"/>
          <w:sz w:val="24"/>
          <w:szCs w:val="24"/>
        </w:rPr>
        <w:t>Pubmed</w:t>
      </w:r>
      <w:proofErr w:type="spellEnd"/>
      <w:r w:rsidR="00FA0020" w:rsidRPr="004C44FA">
        <w:rPr>
          <w:rFonts w:ascii="Arial" w:hAnsi="Arial" w:cs="Arial"/>
          <w:sz w:val="24"/>
          <w:szCs w:val="24"/>
        </w:rPr>
        <w:t xml:space="preserve">/ Medline, </w:t>
      </w:r>
      <w:proofErr w:type="spellStart"/>
      <w:r w:rsidR="00FA0020" w:rsidRPr="004C44FA">
        <w:rPr>
          <w:rFonts w:ascii="Arial" w:hAnsi="Arial" w:cs="Arial"/>
          <w:sz w:val="24"/>
          <w:szCs w:val="24"/>
        </w:rPr>
        <w:t>Medwave</w:t>
      </w:r>
      <w:proofErr w:type="spellEnd"/>
      <w:r w:rsidR="00FA0020" w:rsidRPr="004C44FA">
        <w:rPr>
          <w:rFonts w:ascii="Arial" w:hAnsi="Arial" w:cs="Arial"/>
          <w:sz w:val="24"/>
          <w:szCs w:val="24"/>
        </w:rPr>
        <w:t xml:space="preserve"> y CINAHL entre los años 2010-2017.</w:t>
      </w:r>
    </w:p>
    <w:p w:rsidR="00FA0020" w:rsidRPr="004C44FA" w:rsidRDefault="00FA0020" w:rsidP="004C44FA">
      <w:pPr>
        <w:jc w:val="both"/>
        <w:rPr>
          <w:rFonts w:ascii="Arial" w:hAnsi="Arial" w:cs="Arial"/>
          <w:sz w:val="24"/>
          <w:szCs w:val="24"/>
        </w:rPr>
      </w:pPr>
      <w:r w:rsidRPr="004C44FA">
        <w:rPr>
          <w:rFonts w:ascii="Arial" w:hAnsi="Arial" w:cs="Arial"/>
          <w:sz w:val="24"/>
          <w:szCs w:val="24"/>
        </w:rPr>
        <w:t xml:space="preserve">Como palabras clave se utilizaron: diabetes gestacional, antidiabéticos orales, insulina y tratamiento. </w:t>
      </w:r>
    </w:p>
    <w:p w:rsidR="00391FBC" w:rsidRPr="004C44FA" w:rsidRDefault="005D5278" w:rsidP="004C44FA">
      <w:pPr>
        <w:jc w:val="both"/>
        <w:rPr>
          <w:rFonts w:ascii="Arial" w:hAnsi="Arial" w:cs="Arial"/>
          <w:sz w:val="24"/>
          <w:szCs w:val="24"/>
        </w:rPr>
      </w:pPr>
      <w:r w:rsidRPr="004C44FA">
        <w:rPr>
          <w:rFonts w:ascii="Arial" w:hAnsi="Arial" w:cs="Arial"/>
          <w:sz w:val="24"/>
          <w:szCs w:val="24"/>
        </w:rPr>
        <w:t xml:space="preserve">De los artículos encontrados se seleccionaron los más recientes, los que trataran temas en los que se pudiera </w:t>
      </w:r>
      <w:proofErr w:type="gramStart"/>
      <w:r w:rsidRPr="004C44FA">
        <w:rPr>
          <w:rFonts w:ascii="Arial" w:hAnsi="Arial" w:cs="Arial"/>
          <w:sz w:val="24"/>
          <w:szCs w:val="24"/>
        </w:rPr>
        <w:t>valorar</w:t>
      </w:r>
      <w:r w:rsidR="00FA0020" w:rsidRPr="004C44FA">
        <w:rPr>
          <w:rFonts w:ascii="Arial" w:hAnsi="Arial" w:cs="Arial"/>
          <w:sz w:val="24"/>
          <w:szCs w:val="24"/>
        </w:rPr>
        <w:t xml:space="preserve">  usos</w:t>
      </w:r>
      <w:proofErr w:type="gramEnd"/>
      <w:r w:rsidR="00FA0020" w:rsidRPr="004C44FA">
        <w:rPr>
          <w:rFonts w:ascii="Arial" w:hAnsi="Arial" w:cs="Arial"/>
          <w:sz w:val="24"/>
          <w:szCs w:val="24"/>
        </w:rPr>
        <w:t xml:space="preserve"> de antidiabéticos orales en el embrazo, contraindicacione</w:t>
      </w:r>
      <w:r w:rsidR="00161986" w:rsidRPr="004C44FA">
        <w:rPr>
          <w:rFonts w:ascii="Arial" w:hAnsi="Arial" w:cs="Arial"/>
          <w:sz w:val="24"/>
          <w:szCs w:val="24"/>
        </w:rPr>
        <w:t>s, efectos adversos, seguridad y uso de la metformina.</w:t>
      </w:r>
      <w:r w:rsidRPr="004C44FA">
        <w:rPr>
          <w:rFonts w:ascii="Arial" w:hAnsi="Arial" w:cs="Arial"/>
          <w:sz w:val="24"/>
          <w:szCs w:val="24"/>
        </w:rPr>
        <w:t xml:space="preserve"> </w:t>
      </w:r>
      <w:r w:rsidR="0023593B" w:rsidRPr="004C44FA">
        <w:rPr>
          <w:rFonts w:ascii="Arial" w:hAnsi="Arial" w:cs="Arial"/>
          <w:sz w:val="24"/>
          <w:szCs w:val="24"/>
        </w:rPr>
        <w:t>S</w:t>
      </w:r>
      <w:r w:rsidRPr="004C44FA">
        <w:rPr>
          <w:rFonts w:ascii="Arial" w:hAnsi="Arial" w:cs="Arial"/>
          <w:sz w:val="24"/>
          <w:szCs w:val="24"/>
        </w:rPr>
        <w:t>e seleccionaron los</w:t>
      </w:r>
      <w:r w:rsidR="0023593B" w:rsidRPr="004C44FA">
        <w:rPr>
          <w:rFonts w:ascii="Arial" w:hAnsi="Arial" w:cs="Arial"/>
          <w:sz w:val="24"/>
          <w:szCs w:val="24"/>
        </w:rPr>
        <w:t xml:space="preserve"> artículos</w:t>
      </w:r>
      <w:r w:rsidRPr="004C44FA">
        <w:rPr>
          <w:rFonts w:ascii="Arial" w:hAnsi="Arial" w:cs="Arial"/>
          <w:sz w:val="24"/>
          <w:szCs w:val="24"/>
        </w:rPr>
        <w:t xml:space="preserve"> que no tuvieran ningún conflicto ético en su realización.</w:t>
      </w:r>
    </w:p>
    <w:p w:rsidR="0023593B" w:rsidRPr="004C44FA" w:rsidRDefault="0023593B" w:rsidP="004C44FA">
      <w:pPr>
        <w:jc w:val="both"/>
        <w:rPr>
          <w:rFonts w:ascii="Arial" w:hAnsi="Arial" w:cs="Arial"/>
          <w:sz w:val="24"/>
          <w:szCs w:val="24"/>
        </w:rPr>
      </w:pPr>
    </w:p>
    <w:p w:rsidR="005D5278" w:rsidRPr="004C44FA" w:rsidRDefault="0023593B" w:rsidP="004C44FA">
      <w:pPr>
        <w:jc w:val="both"/>
        <w:rPr>
          <w:rFonts w:ascii="Arial" w:hAnsi="Arial" w:cs="Arial"/>
          <w:sz w:val="24"/>
          <w:szCs w:val="24"/>
        </w:rPr>
      </w:pPr>
      <w:r w:rsidRPr="004C44FA">
        <w:rPr>
          <w:rFonts w:ascii="Arial" w:hAnsi="Arial" w:cs="Arial"/>
          <w:sz w:val="24"/>
          <w:szCs w:val="24"/>
        </w:rPr>
        <w:t>Los artículos</w:t>
      </w:r>
      <w:r w:rsidR="00B22F80" w:rsidRPr="004C44FA">
        <w:rPr>
          <w:rFonts w:ascii="Arial" w:hAnsi="Arial" w:cs="Arial"/>
          <w:sz w:val="24"/>
          <w:szCs w:val="24"/>
        </w:rPr>
        <w:t xml:space="preserve"> en los que encontramos la información que respondía a los objetivos que nos planteamos y que</w:t>
      </w:r>
      <w:r w:rsidRPr="004C44FA">
        <w:rPr>
          <w:rFonts w:ascii="Arial" w:hAnsi="Arial" w:cs="Arial"/>
          <w:sz w:val="24"/>
          <w:szCs w:val="24"/>
        </w:rPr>
        <w:t xml:space="preserve"> utilizamos para elaborar nuestra revisión y las conclusiones de nuestro trabajo fueron los siguientes.</w:t>
      </w:r>
      <w:r w:rsidR="00B22F80" w:rsidRPr="004C44FA">
        <w:rPr>
          <w:rFonts w:ascii="Arial" w:hAnsi="Arial" w:cs="Arial"/>
          <w:sz w:val="24"/>
          <w:szCs w:val="24"/>
        </w:rPr>
        <w:t xml:space="preserve"> </w:t>
      </w:r>
    </w:p>
    <w:p w:rsidR="004C44FA" w:rsidRPr="004C44FA" w:rsidRDefault="004C44FA" w:rsidP="004C44FA">
      <w:pPr>
        <w:pStyle w:val="Bibliografa"/>
        <w:jc w:val="both"/>
        <w:rPr>
          <w:rFonts w:ascii="Arial" w:hAnsi="Arial" w:cs="Arial"/>
          <w:sz w:val="24"/>
          <w:szCs w:val="24"/>
        </w:rPr>
      </w:pPr>
    </w:p>
    <w:p w:rsidR="00FA0020" w:rsidRPr="004C44FA" w:rsidRDefault="00FA0020" w:rsidP="004C44FA">
      <w:pPr>
        <w:pStyle w:val="Bibliografa"/>
        <w:jc w:val="both"/>
        <w:rPr>
          <w:rFonts w:ascii="Arial" w:hAnsi="Arial" w:cs="Arial"/>
          <w:sz w:val="24"/>
          <w:szCs w:val="24"/>
        </w:rPr>
      </w:pPr>
      <w:r w:rsidRPr="004C44FA">
        <w:rPr>
          <w:rFonts w:ascii="Arial" w:hAnsi="Arial" w:cs="Arial"/>
          <w:sz w:val="24"/>
          <w:szCs w:val="24"/>
        </w:rPr>
        <w:fldChar w:fldCharType="begin"/>
      </w:r>
      <w:r w:rsidRPr="004C44FA">
        <w:rPr>
          <w:rFonts w:ascii="Arial" w:hAnsi="Arial" w:cs="Arial"/>
          <w:sz w:val="24"/>
          <w:szCs w:val="24"/>
        </w:rPr>
        <w:instrText xml:space="preserve"> ADDIN ZOTERO_BIBL {"custom":[]} CSL_BIBLIOGRAPHY </w:instrText>
      </w:r>
      <w:r w:rsidRPr="004C44FA">
        <w:rPr>
          <w:rFonts w:ascii="Arial" w:hAnsi="Arial" w:cs="Arial"/>
          <w:sz w:val="24"/>
          <w:szCs w:val="24"/>
        </w:rPr>
        <w:fldChar w:fldCharType="separate"/>
      </w:r>
      <w:r w:rsidRPr="004C44FA">
        <w:rPr>
          <w:rFonts w:ascii="Arial" w:hAnsi="Arial" w:cs="Arial"/>
          <w:sz w:val="24"/>
          <w:szCs w:val="24"/>
        </w:rPr>
        <w:t xml:space="preserve">García-Herrera E. Actualización sobre el uso de Hipoglicemiantes orales para el tratamiento farmacológico en diabetes mellitus gestacional. Rev Médica Costa Rica Centroamérica. 2014;71(610):225-9. </w:t>
      </w:r>
    </w:p>
    <w:p w:rsidR="004C44FA" w:rsidRPr="004C44FA" w:rsidRDefault="004C44FA" w:rsidP="004C44FA">
      <w:pPr>
        <w:pStyle w:val="Bibliografa"/>
        <w:jc w:val="both"/>
        <w:rPr>
          <w:rFonts w:ascii="Arial" w:hAnsi="Arial" w:cs="Arial"/>
          <w:sz w:val="24"/>
          <w:szCs w:val="24"/>
        </w:rPr>
      </w:pPr>
    </w:p>
    <w:p w:rsidR="00FA0020" w:rsidRPr="004C44FA" w:rsidRDefault="00FA0020" w:rsidP="004C44FA">
      <w:pPr>
        <w:pStyle w:val="Bibliografa"/>
        <w:jc w:val="both"/>
        <w:rPr>
          <w:rFonts w:ascii="Arial" w:hAnsi="Arial" w:cs="Arial"/>
          <w:sz w:val="24"/>
          <w:szCs w:val="24"/>
        </w:rPr>
      </w:pPr>
      <w:proofErr w:type="spellStart"/>
      <w:r w:rsidRPr="004C44FA">
        <w:rPr>
          <w:rFonts w:ascii="Arial" w:hAnsi="Arial" w:cs="Arial"/>
          <w:sz w:val="24"/>
          <w:szCs w:val="24"/>
        </w:rPr>
        <w:t>Pavlovic</w:t>
      </w:r>
      <w:proofErr w:type="spellEnd"/>
      <w:r w:rsidRPr="004C44FA">
        <w:rPr>
          <w:rFonts w:ascii="Arial" w:hAnsi="Arial" w:cs="Arial"/>
          <w:sz w:val="24"/>
          <w:szCs w:val="24"/>
        </w:rPr>
        <w:t xml:space="preserve"> B M, Carvajal C J. Hipoglicemiantes orales para el tratamiento de la diabetes mellitus gestacional: Revisión sistemática de la literatura. Rev Chil Obstet Ginecol. 2013;78(3):167-78. </w:t>
      </w:r>
    </w:p>
    <w:p w:rsidR="004C44FA" w:rsidRPr="004C44FA" w:rsidRDefault="004C44FA" w:rsidP="004C44FA">
      <w:pPr>
        <w:pStyle w:val="Bibliografa"/>
        <w:jc w:val="both"/>
        <w:rPr>
          <w:rFonts w:ascii="Arial" w:hAnsi="Arial" w:cs="Arial"/>
          <w:sz w:val="24"/>
          <w:szCs w:val="24"/>
        </w:rPr>
      </w:pPr>
    </w:p>
    <w:p w:rsidR="00FA0020" w:rsidRPr="004C44FA" w:rsidRDefault="00FA0020" w:rsidP="004C44FA">
      <w:pPr>
        <w:pStyle w:val="Bibliografa"/>
        <w:jc w:val="both"/>
        <w:rPr>
          <w:rFonts w:ascii="Arial" w:hAnsi="Arial" w:cs="Arial"/>
          <w:sz w:val="24"/>
          <w:szCs w:val="24"/>
        </w:rPr>
      </w:pPr>
      <w:r w:rsidRPr="004C44FA">
        <w:rPr>
          <w:rFonts w:ascii="Arial" w:hAnsi="Arial" w:cs="Arial"/>
          <w:sz w:val="24"/>
          <w:szCs w:val="24"/>
        </w:rPr>
        <w:t>Metformina y diabetes gestacional [Internet]. [citado 31 de enero de 2018]. Disponible en: http://www.redalyc.org/html/473/47332498014/</w:t>
      </w:r>
    </w:p>
    <w:p w:rsidR="006F024E" w:rsidRPr="004C44FA" w:rsidRDefault="00FA0020" w:rsidP="004C44FA">
      <w:pPr>
        <w:jc w:val="both"/>
        <w:rPr>
          <w:rFonts w:ascii="Arial" w:hAnsi="Arial" w:cs="Arial"/>
          <w:sz w:val="24"/>
          <w:szCs w:val="24"/>
        </w:rPr>
      </w:pPr>
      <w:r w:rsidRPr="004C44FA">
        <w:rPr>
          <w:rFonts w:ascii="Arial" w:hAnsi="Arial" w:cs="Arial"/>
          <w:sz w:val="24"/>
          <w:szCs w:val="24"/>
        </w:rPr>
        <w:fldChar w:fldCharType="end"/>
      </w:r>
    </w:p>
    <w:p w:rsidR="00B22F80" w:rsidRPr="004C44FA" w:rsidRDefault="00B22F80" w:rsidP="004C44FA">
      <w:pPr>
        <w:jc w:val="both"/>
        <w:rPr>
          <w:rFonts w:ascii="Arial" w:hAnsi="Arial" w:cs="Arial"/>
          <w:sz w:val="24"/>
          <w:szCs w:val="24"/>
        </w:rPr>
      </w:pPr>
      <w:r w:rsidRPr="004C44FA">
        <w:rPr>
          <w:rFonts w:ascii="Arial" w:hAnsi="Arial" w:cs="Arial"/>
          <w:sz w:val="24"/>
          <w:szCs w:val="24"/>
        </w:rPr>
        <w:t>Se descartaron artículos que no respondían a los objetivos planteados o por tratar otras temáticas no relacionadas.</w:t>
      </w:r>
    </w:p>
    <w:p w:rsidR="00B22F80" w:rsidRPr="004C44FA" w:rsidRDefault="00B22F80" w:rsidP="004C44FA">
      <w:pPr>
        <w:jc w:val="both"/>
        <w:rPr>
          <w:rFonts w:ascii="Arial" w:hAnsi="Arial" w:cs="Arial"/>
          <w:sz w:val="24"/>
          <w:szCs w:val="24"/>
        </w:rPr>
      </w:pPr>
    </w:p>
    <w:p w:rsidR="005D5278" w:rsidRPr="004C44FA" w:rsidRDefault="005D5278" w:rsidP="004C44FA">
      <w:pPr>
        <w:jc w:val="both"/>
        <w:rPr>
          <w:rFonts w:ascii="Arial" w:hAnsi="Arial" w:cs="Arial"/>
          <w:sz w:val="24"/>
          <w:szCs w:val="24"/>
        </w:rPr>
      </w:pPr>
      <w:r w:rsidRPr="004C44FA">
        <w:rPr>
          <w:rFonts w:ascii="Arial" w:hAnsi="Arial" w:cs="Arial"/>
          <w:sz w:val="24"/>
          <w:szCs w:val="24"/>
        </w:rPr>
        <w:t xml:space="preserve">A </w:t>
      </w:r>
      <w:proofErr w:type="gramStart"/>
      <w:r w:rsidRPr="004C44FA">
        <w:rPr>
          <w:rFonts w:ascii="Arial" w:hAnsi="Arial" w:cs="Arial"/>
          <w:sz w:val="24"/>
          <w:szCs w:val="24"/>
        </w:rPr>
        <w:t>continuación</w:t>
      </w:r>
      <w:proofErr w:type="gramEnd"/>
      <w:r w:rsidRPr="004C44FA">
        <w:rPr>
          <w:rFonts w:ascii="Arial" w:hAnsi="Arial" w:cs="Arial"/>
          <w:sz w:val="24"/>
          <w:szCs w:val="24"/>
        </w:rPr>
        <w:t xml:space="preserve"> les adjunto un breve resumen de la información obtenida de la revisión y que se presentó para la aceptación de nuestro trabajo.</w:t>
      </w:r>
    </w:p>
    <w:p w:rsidR="004C44FA" w:rsidRPr="004C44FA" w:rsidRDefault="004C44FA" w:rsidP="004C44FA">
      <w:pPr>
        <w:pStyle w:val="Default"/>
        <w:jc w:val="both"/>
        <w:rPr>
          <w:rFonts w:ascii="Arial" w:hAnsi="Arial" w:cs="Arial"/>
          <w:color w:val="auto"/>
        </w:rPr>
      </w:pP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  <w:r w:rsidRPr="004C44FA">
        <w:rPr>
          <w:rFonts w:ascii="Arial" w:hAnsi="Arial" w:cs="Arial"/>
          <w:color w:val="auto"/>
        </w:rPr>
        <w:t>INTRODUCCIÓN:</w:t>
      </w: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  <w:r w:rsidRPr="004C44FA">
        <w:rPr>
          <w:rFonts w:ascii="Arial" w:hAnsi="Arial" w:cs="Arial"/>
          <w:color w:val="auto"/>
        </w:rPr>
        <w:t xml:space="preserve">La diabetes gestacional es la intolerancia a los hidratos de carbono durante el embarazo. El tratamiento adecuado es primordial para disminuir la </w:t>
      </w:r>
      <w:proofErr w:type="gramStart"/>
      <w:r w:rsidRPr="004C44FA">
        <w:rPr>
          <w:rFonts w:ascii="Arial" w:hAnsi="Arial" w:cs="Arial"/>
          <w:color w:val="auto"/>
        </w:rPr>
        <w:t xml:space="preserve">morbilidad  </w:t>
      </w:r>
      <w:r w:rsidRPr="004C44FA">
        <w:rPr>
          <w:rFonts w:ascii="Arial" w:hAnsi="Arial" w:cs="Arial"/>
          <w:color w:val="auto"/>
        </w:rPr>
        <w:lastRenderedPageBreak/>
        <w:t>tanto</w:t>
      </w:r>
      <w:proofErr w:type="gramEnd"/>
      <w:r w:rsidRPr="004C44FA">
        <w:rPr>
          <w:rFonts w:ascii="Arial" w:hAnsi="Arial" w:cs="Arial"/>
          <w:color w:val="auto"/>
        </w:rPr>
        <w:t xml:space="preserve"> materna como fetal. El tratamiento principal es la insulina. El uso de ADO es controvertido por sus efectos teratogénicos. </w:t>
      </w: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  <w:r w:rsidRPr="004C44FA">
        <w:rPr>
          <w:rFonts w:ascii="Arial" w:hAnsi="Arial" w:cs="Arial"/>
          <w:color w:val="auto"/>
        </w:rPr>
        <w:t xml:space="preserve">OBJETIVOS: </w:t>
      </w: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  <w:r w:rsidRPr="004C44FA">
        <w:rPr>
          <w:rFonts w:ascii="Arial" w:hAnsi="Arial" w:cs="Arial"/>
          <w:color w:val="auto"/>
        </w:rPr>
        <w:t xml:space="preserve">Determinar si los antidiabéticos orales son una alternativa segura en lugar de la insulina en la diabetes gestacional. </w:t>
      </w: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  <w:r w:rsidRPr="004C44FA">
        <w:rPr>
          <w:rFonts w:ascii="Arial" w:hAnsi="Arial" w:cs="Arial"/>
          <w:color w:val="auto"/>
        </w:rPr>
        <w:t xml:space="preserve">METODOLOGÍA: </w:t>
      </w: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  <w:r w:rsidRPr="004C44FA">
        <w:rPr>
          <w:rFonts w:ascii="Arial" w:hAnsi="Arial" w:cs="Arial"/>
          <w:color w:val="auto"/>
        </w:rPr>
        <w:t xml:space="preserve">Se realizó una revisión bibliográfica en inglés y castellano, en bases de datos de salud: Cuiden Plus, </w:t>
      </w:r>
      <w:proofErr w:type="spellStart"/>
      <w:r w:rsidRPr="004C44FA">
        <w:rPr>
          <w:rFonts w:ascii="Arial" w:hAnsi="Arial" w:cs="Arial"/>
          <w:color w:val="auto"/>
        </w:rPr>
        <w:t>Tripdatabase</w:t>
      </w:r>
      <w:proofErr w:type="spellEnd"/>
      <w:r w:rsidRPr="004C44FA">
        <w:rPr>
          <w:rFonts w:ascii="Arial" w:hAnsi="Arial" w:cs="Arial"/>
          <w:color w:val="auto"/>
        </w:rPr>
        <w:t xml:space="preserve">, Scielo, Biblioteca Cochrane Plus, </w:t>
      </w:r>
      <w:proofErr w:type="spellStart"/>
      <w:r w:rsidRPr="004C44FA">
        <w:rPr>
          <w:rFonts w:ascii="Arial" w:hAnsi="Arial" w:cs="Arial"/>
          <w:color w:val="auto"/>
        </w:rPr>
        <w:t>Pubmed</w:t>
      </w:r>
      <w:proofErr w:type="spellEnd"/>
      <w:r w:rsidRPr="004C44FA">
        <w:rPr>
          <w:rFonts w:ascii="Arial" w:hAnsi="Arial" w:cs="Arial"/>
          <w:color w:val="auto"/>
        </w:rPr>
        <w:t xml:space="preserve">/ Medline, </w:t>
      </w:r>
      <w:proofErr w:type="spellStart"/>
      <w:r w:rsidRPr="004C44FA">
        <w:rPr>
          <w:rFonts w:ascii="Arial" w:hAnsi="Arial" w:cs="Arial"/>
          <w:color w:val="auto"/>
        </w:rPr>
        <w:t>Medwave</w:t>
      </w:r>
      <w:proofErr w:type="spellEnd"/>
      <w:r w:rsidRPr="004C44FA">
        <w:rPr>
          <w:rFonts w:ascii="Arial" w:hAnsi="Arial" w:cs="Arial"/>
          <w:color w:val="auto"/>
        </w:rPr>
        <w:t xml:space="preserve"> y CINAHL entre los años 2010-2017. Como palabras clave se utilizaron: diabetes gestacional, antidiabéticos orales, insulina y tratamiento. </w:t>
      </w: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  <w:r w:rsidRPr="004C44FA">
        <w:rPr>
          <w:rFonts w:ascii="Arial" w:hAnsi="Arial" w:cs="Arial"/>
          <w:color w:val="auto"/>
        </w:rPr>
        <w:t xml:space="preserve">RESULTADOS: </w:t>
      </w: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  <w:r w:rsidRPr="004C44FA">
        <w:rPr>
          <w:rFonts w:ascii="Arial" w:hAnsi="Arial" w:cs="Arial"/>
          <w:color w:val="auto"/>
        </w:rPr>
        <w:t xml:space="preserve">Los ADO no se utilizan por sus efectos adversos como son las hipoglucemias y los efectos teratogénicos, de aquí la gran controversia entre los expertos en su uso. </w:t>
      </w: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  <w:r w:rsidRPr="004C44FA">
        <w:rPr>
          <w:rFonts w:ascii="Arial" w:hAnsi="Arial" w:cs="Arial"/>
          <w:color w:val="auto"/>
        </w:rPr>
        <w:t xml:space="preserve">Pero la Metformina es segura y eficaz en el uso de la diabetes gestacional, ya que no presenta estos efectos adversos e incluso mejora la sensibilidad a la insulina. </w:t>
      </w: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  <w:r w:rsidRPr="004C44FA">
        <w:rPr>
          <w:rFonts w:ascii="Arial" w:hAnsi="Arial" w:cs="Arial"/>
          <w:color w:val="auto"/>
        </w:rPr>
        <w:t xml:space="preserve">La insulina sigue siendo el principal tratamiento de la DG, pero ya se empieza a recomendar la Metformina en algunas ocasiones. </w:t>
      </w: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  <w:r w:rsidRPr="004C44FA">
        <w:rPr>
          <w:rFonts w:ascii="Arial" w:hAnsi="Arial" w:cs="Arial"/>
          <w:color w:val="auto"/>
        </w:rPr>
        <w:t>CONCLUSI</w:t>
      </w:r>
      <w:r w:rsidR="004C44FA" w:rsidRPr="004C44FA">
        <w:rPr>
          <w:rFonts w:ascii="Arial" w:hAnsi="Arial" w:cs="Arial"/>
          <w:color w:val="auto"/>
        </w:rPr>
        <w:t>O</w:t>
      </w:r>
      <w:r w:rsidRPr="004C44FA">
        <w:rPr>
          <w:rFonts w:ascii="Arial" w:hAnsi="Arial" w:cs="Arial"/>
          <w:color w:val="auto"/>
        </w:rPr>
        <w:t>N</w:t>
      </w:r>
      <w:r w:rsidR="004C44FA" w:rsidRPr="004C44FA">
        <w:rPr>
          <w:rFonts w:ascii="Arial" w:hAnsi="Arial" w:cs="Arial"/>
          <w:color w:val="auto"/>
        </w:rPr>
        <w:t>ES</w:t>
      </w:r>
      <w:r w:rsidRPr="004C44FA">
        <w:rPr>
          <w:rFonts w:ascii="Arial" w:hAnsi="Arial" w:cs="Arial"/>
          <w:color w:val="auto"/>
        </w:rPr>
        <w:t xml:space="preserve">: </w:t>
      </w: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</w:p>
    <w:p w:rsidR="00FA0020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  <w:r w:rsidRPr="004C44FA">
        <w:rPr>
          <w:rFonts w:ascii="Arial" w:hAnsi="Arial" w:cs="Arial"/>
          <w:color w:val="auto"/>
        </w:rPr>
        <w:t>La Insulina constituye el único tratamiento aprobado de forma unánime para la diabetes gestacional.</w:t>
      </w:r>
    </w:p>
    <w:p w:rsidR="009D7CED" w:rsidRPr="004C44FA" w:rsidRDefault="00FA0020" w:rsidP="004C44FA">
      <w:pPr>
        <w:pStyle w:val="Default"/>
        <w:jc w:val="both"/>
        <w:rPr>
          <w:rFonts w:ascii="Arial" w:hAnsi="Arial" w:cs="Arial"/>
          <w:color w:val="auto"/>
        </w:rPr>
      </w:pPr>
      <w:r w:rsidRPr="004C44FA">
        <w:rPr>
          <w:rFonts w:ascii="Arial" w:hAnsi="Arial" w:cs="Arial"/>
          <w:color w:val="auto"/>
        </w:rPr>
        <w:t xml:space="preserve">El uso del resto de ADO sigue siendo controvertido. El único ADO cuyo uso se recomienda de forma segura es la Metformina. </w:t>
      </w:r>
    </w:p>
    <w:sectPr w:rsidR="009D7CED" w:rsidRPr="004C44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1FBC"/>
    <w:rsid w:val="00024851"/>
    <w:rsid w:val="00161986"/>
    <w:rsid w:val="0023593B"/>
    <w:rsid w:val="00347C90"/>
    <w:rsid w:val="00391FBC"/>
    <w:rsid w:val="004C44FA"/>
    <w:rsid w:val="005376DA"/>
    <w:rsid w:val="005D5278"/>
    <w:rsid w:val="005D6766"/>
    <w:rsid w:val="006F024E"/>
    <w:rsid w:val="00886664"/>
    <w:rsid w:val="008A372F"/>
    <w:rsid w:val="009D7CED"/>
    <w:rsid w:val="00A041FB"/>
    <w:rsid w:val="00B22F80"/>
    <w:rsid w:val="00CD6C04"/>
    <w:rsid w:val="00FA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73DAF"/>
  <w15:docId w15:val="{2EB6E9A0-3AD8-48FE-9B15-142D214E2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5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tandard-view-style">
    <w:name w:val="standard-view-style"/>
    <w:basedOn w:val="Fuentedeprrafopredeter"/>
    <w:rsid w:val="005D5278"/>
  </w:style>
  <w:style w:type="character" w:styleId="nfasis">
    <w:name w:val="Emphasis"/>
    <w:basedOn w:val="Fuentedeprrafopredeter"/>
    <w:uiPriority w:val="20"/>
    <w:qFormat/>
    <w:rsid w:val="0023593B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23593B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F024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7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C9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A00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ibliografa">
    <w:name w:val="Bibliography"/>
    <w:basedOn w:val="Normal"/>
    <w:next w:val="Normal"/>
    <w:uiPriority w:val="37"/>
    <w:semiHidden/>
    <w:unhideWhenUsed/>
    <w:rsid w:val="00FA0020"/>
    <w:pPr>
      <w:spacing w:after="20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538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</dc:creator>
  <cp:lastModifiedBy>Auro</cp:lastModifiedBy>
  <cp:revision>4</cp:revision>
  <dcterms:created xsi:type="dcterms:W3CDTF">2019-05-08T15:39:00Z</dcterms:created>
  <dcterms:modified xsi:type="dcterms:W3CDTF">2019-05-10T12:26:00Z</dcterms:modified>
</cp:coreProperties>
</file>